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26262C"/>
          <w:sz w:val="28"/>
          <w:szCs w:val="28"/>
        </w:rPr>
        <w:t xml:space="preserve">KAT KARŞILIĞI İNŞAAT SÖZLEŞMESİ ÖRNEĞİ — 2026</w:t>
      </w:r>
    </w:p>
    <w:p>
      <w:pPr>
        <w:spacing w:after="240"/>
        <w:jc w:val="center"/>
      </w:pPr>
      <w:r>
        <w:rPr>
          <w:rFonts w:ascii="Arial" w:cs="Arial" w:eastAsia="Arial" w:hAnsi="Arial"/>
          <w:i/>
          <w:iCs/>
          <w:color w:val="555555"/>
          <w:sz w:val="20"/>
          <w:szCs w:val="20"/>
        </w:rPr>
        <w:t xml:space="preserve">Düzenleme şeklinde (noterde) yapılacak sözleşme için hazırlık taslağı — Word şablonu</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7CBFA" w:sz="6"/>
              <w:left w:val="single" w:color="4146F3" w:sz="24"/>
              <w:bottom w:val="single" w:color="C7CBFA" w:sz="6"/>
              <w:right w:val="single" w:color="C7CBFA" w:sz="6"/>
            </w:tcBorders>
            <w:shd w:fill="FFF8E6" w:color="auto" w:val="clear"/>
            <w:tcMar>
              <w:top w:type="dxa" w:w="140"/>
              <w:left w:type="dxa" w:w="200"/>
              <w:bottom w:type="dxa" w:w="140"/>
              <w:right w:type="dxa" w:w="200"/>
            </w:tcMar>
          </w:tcPr>
          <w:p>
            <w:pPr>
              <w:spacing w:after="80" w:before="0" w:line="276"/>
              <w:jc w:val="both"/>
            </w:pPr>
            <w:r>
              <w:rPr>
                <w:rFonts w:ascii="Arial" w:cs="Arial" w:eastAsia="Arial" w:hAnsi="Arial"/>
                <w:b/>
                <w:bCs/>
                <w:sz w:val="20"/>
                <w:szCs w:val="20"/>
              </w:rPr>
              <w:t xml:space="preserve">Önce bunu okuyun:</w:t>
            </w:r>
            <w:r>
              <w:rPr>
                <w:rFonts w:ascii="Arial" w:cs="Arial" w:eastAsia="Arial" w:hAnsi="Arial"/>
                <w:sz w:val="20"/>
                <w:szCs w:val="20"/>
              </w:rPr>
              <w:t xml:space="preserve"> Kat karşılığı inşaat sözleşmesi arsa payının devrini de vaat ettiği için </w:t>
            </w:r>
            <w:r>
              <w:rPr>
                <w:rFonts w:ascii="Arial" w:cs="Arial" w:eastAsia="Arial" w:hAnsi="Arial"/>
                <w:b/>
                <w:bCs/>
                <w:sz w:val="20"/>
                <w:szCs w:val="20"/>
              </w:rPr>
              <w:t xml:space="preserve">noterde düzenleme şeklinde</w:t>
            </w:r>
            <w:r>
              <w:rPr>
                <w:rFonts w:ascii="Arial" w:cs="Arial" w:eastAsia="Arial" w:hAnsi="Arial"/>
                <w:sz w:val="20"/>
                <w:szCs w:val="20"/>
              </w:rPr>
              <w:t xml:space="preserve"> yapılmalıdır (TMK md. 706, TBK md. 237, Tapu Kanunu md. 26, Noterlik Kanunu md. 60). Bu metni kendi aranızda imzalayıp bırakırsanız arsa payı devri vaadi geçersiz kalır.</w:t>
            </w:r>
          </w:p>
          <w:p>
            <w:pPr>
              <w:spacing w:after="0" w:before="0" w:line="276"/>
              <w:jc w:val="both"/>
            </w:pPr>
            <w:r>
              <w:rPr>
                <w:rFonts w:ascii="Arial" w:cs="Arial" w:eastAsia="Arial" w:hAnsi="Arial"/>
                <w:sz w:val="20"/>
                <w:szCs w:val="20"/>
              </w:rPr>
              <w:t xml:space="preserve">Bu taslağın amacı, notere gitmeden önce tarafların her maddeyi konuşup rakamlarla doldurmasıdır. Son metni noter ve tercihen bir avukat kontrol etmelidir.</w:t>
            </w:r>
          </w:p>
        </w:tc>
      </w:tr>
    </w:tbl>
    <w:p>
      <w:r>
        <w:rPr>
          <w:rFonts w:ascii="Arial" w:cs="Arial" w:eastAsia="Arial" w:hAnsi="Arial"/>
        </w:rPr>
        <w:t xml:space="preserve"/>
      </w:r>
    </w:p>
    <w:p>
      <w:pPr>
        <w:spacing w:after="120" w:before="0" w:line="276"/>
        <w:jc w:val="center"/>
      </w:pPr>
      <w:r>
        <w:rPr>
          <w:rFonts w:ascii="Arial" w:cs="Arial" w:eastAsia="Arial" w:hAnsi="Arial"/>
          <w:b/>
          <w:bCs/>
        </w:rPr>
        <w:t xml:space="preserve">DÜZENLEME ŞEKLİNDE KAT KARŞILIĞI İNŞAAT SÖZLEŞMESİ</w:t>
      </w:r>
    </w:p>
    <w:p>
      <w:pPr>
        <w:spacing w:after="200" w:before="0" w:line="276"/>
        <w:jc w:val="center"/>
      </w:pPr>
      <w:r>
        <w:rPr>
          <w:rFonts w:ascii="Arial" w:cs="Arial" w:eastAsia="Arial" w:hAnsi="Arial"/>
          <w:b/>
          <w:bCs/>
        </w:rPr>
        <w:t xml:space="preserve">VE GAYRİMENKUL SATIŞ VAADİ</w:t>
      </w:r>
    </w:p>
    <w:p>
      <w:pPr>
        <w:keepNext/>
        <w:spacing w:after="120" w:before="200"/>
        <w:jc w:val="left"/>
      </w:pPr>
      <w:r>
        <w:rPr>
          <w:rFonts w:ascii="Arial" w:cs="Arial" w:eastAsia="Arial" w:hAnsi="Arial"/>
          <w:b/>
          <w:bCs/>
          <w:color w:val="26262C"/>
          <w:sz w:val="21"/>
          <w:szCs w:val="21"/>
        </w:rPr>
        <w:t xml:space="preserve">MADDE 1 — TARAFLAR</w:t>
      </w:r>
    </w:p>
    <w:p>
      <w:pPr>
        <w:spacing w:after="60" w:before="0" w:line="276"/>
        <w:jc w:val="both"/>
      </w:pPr>
      <w:r>
        <w:rPr>
          <w:rFonts w:ascii="Arial" w:cs="Arial" w:eastAsia="Arial" w:hAnsi="Arial"/>
          <w:b/>
          <w:bCs/>
        </w:rPr>
        <w:t xml:space="preserve">1.1 Arsa sahibi / sahipleri</w:t>
      </w:r>
      <w:r>
        <w:rPr>
          <w:rFonts w:ascii="Arial" w:cs="Arial" w:eastAsia="Arial" w:hAnsi="Arial"/>
        </w:rPr>
        <w:t xml:space="preserve"> (hissedarların tamamı yazılmalıdır):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400"/>
        <w:gridCol w:w="3226"/>
      </w:tblGrid>
      <w:tr>
        <w:trPr>
          <w:tblHeader/>
        </w:trPr>
        <w:tc>
          <w:tcPr>
            <w:tcW w:type="dxa" w:w="24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Adı Soyadı</w:t>
            </w:r>
          </w:p>
        </w:tc>
        <w:tc>
          <w:tcPr>
            <w:tcW w:type="dxa" w:w="20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T.C. Kimlik No</w:t>
            </w:r>
          </w:p>
        </w:tc>
        <w:tc>
          <w:tcPr>
            <w:tcW w:type="dxa" w:w="14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Hisse oranı</w:t>
            </w:r>
          </w:p>
        </w:tc>
        <w:tc>
          <w:tcPr>
            <w:tcW w:type="dxa" w:w="3226"/>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Adres / telefon</w:t>
            </w:r>
          </w:p>
        </w:tc>
      </w:tr>
      <w:tr>
        <w:trPr>
          <w:tblHeader w:val="false"/>
        </w:trPr>
        <w:tc>
          <w:tcPr>
            <w:tcW w:type="dxa" w:w="24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20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4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24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20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4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24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20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4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bl>
    <w:p>
      <w:r>
        <w:rPr>
          <w:rFonts w:ascii="Arial" w:cs="Arial" w:eastAsia="Arial" w:hAnsi="Arial"/>
        </w:rPr>
        <w:t xml:space="preserve"/>
      </w:r>
    </w:p>
    <w:p>
      <w:pPr>
        <w:spacing w:after="120" w:before="0" w:line="276"/>
        <w:jc w:val="both"/>
      </w:pPr>
      <w:r>
        <w:rPr>
          <w:rFonts w:ascii="Arial" w:cs="Arial" w:eastAsia="Arial" w:hAnsi="Arial"/>
          <w:b/>
          <w:bCs/>
        </w:rPr>
        <w:t xml:space="preserve">1.2 Yüklenici (müteahhit):</w:t>
      </w:r>
      <w:r>
        <w:rPr>
          <w:rFonts w:ascii="Arial" w:cs="Arial" w:eastAsia="Arial" w:hAnsi="Arial"/>
        </w:rPr>
        <w:t xml:space="preserve"> …………………………… — Vergi dairesi / no: …………… — Yapı müteahhidi yetki belgesi no: ……………, grubu: …………… — Adres: ……………………………</w:t>
      </w:r>
    </w:p>
    <w:p>
      <w:pPr>
        <w:spacing w:after="120" w:before="0" w:line="276"/>
        <w:jc w:val="both"/>
      </w:pPr>
      <w:r>
        <w:rPr>
          <w:rFonts w:ascii="Arial" w:cs="Arial" w:eastAsia="Arial" w:hAnsi="Arial"/>
        </w:rPr>
        <w:t xml:space="preserve">Sözleşmede bundan sonra arsa sahipleri “ARSA SAHİBİ”, yüklenici “YÜKLENİCİ” olarak anılacaktır.</w:t>
      </w:r>
    </w:p>
    <w:p>
      <w:pPr>
        <w:keepNext/>
        <w:spacing w:after="120" w:before="200"/>
        <w:jc w:val="left"/>
      </w:pPr>
      <w:r>
        <w:rPr>
          <w:rFonts w:ascii="Arial" w:cs="Arial" w:eastAsia="Arial" w:hAnsi="Arial"/>
          <w:b/>
          <w:bCs/>
          <w:color w:val="26262C"/>
          <w:sz w:val="21"/>
          <w:szCs w:val="21"/>
        </w:rPr>
        <w:t xml:space="preserve">MADDE 2 — SÖZLEŞMENİN KONUSU VE TAŞINMAZ</w:t>
      </w:r>
    </w:p>
    <w:p>
      <w:pPr>
        <w:spacing w:after="120" w:before="0" w:line="276"/>
        <w:jc w:val="both"/>
      </w:pPr>
      <w:r>
        <w:rPr>
          <w:rFonts w:ascii="Arial" w:cs="Arial" w:eastAsia="Arial" w:hAnsi="Arial"/>
        </w:rPr>
        <w:t xml:space="preserve">…………… ili, …………… ilçesi, …………… mahallesi, …………… ada …………… parsel, …………… m² yüzölçümlü taşınmaz üzerinde; ……………/……………/2026 tarihli imar durumuna ve ilgili idarece onaylanacak projelere uygun olarak yapılacak yapının, aşağıdaki paylaşım esasları çerçevesinde YÜKLENİCİ tarafından tüm malzeme ve işçiliği kendisine ait olmak üzere anahtar teslimi inşa edilmesi ve karşılığında YÜKLENİCİ’ye arsa payı devri yapılmasıdır.</w:t>
      </w:r>
    </w:p>
    <w:p>
      <w:pPr>
        <w:keepNext/>
        <w:spacing w:after="120" w:before="200"/>
        <w:jc w:val="left"/>
      </w:pPr>
      <w:r>
        <w:rPr>
          <w:rFonts w:ascii="Arial" w:cs="Arial" w:eastAsia="Arial" w:hAnsi="Arial"/>
          <w:b/>
          <w:bCs/>
          <w:color w:val="26262C"/>
          <w:sz w:val="21"/>
          <w:szCs w:val="21"/>
        </w:rPr>
        <w:t xml:space="preserve">MADDE 3 — YAPILACAK YAPI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5226"/>
      </w:tblGrid>
      <w:tr>
        <w:trPr>
          <w:tblHeader/>
        </w:trPr>
        <w:tc>
          <w:tcPr>
            <w:tcW w:type="dxa" w:w="38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Özellik</w:t>
            </w:r>
          </w:p>
        </w:tc>
        <w:tc>
          <w:tcPr>
            <w:tcW w:type="dxa" w:w="5226"/>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Değer</w:t>
            </w:r>
          </w:p>
        </w:tc>
      </w:tr>
      <w:tr>
        <w:trPr>
          <w:tblHeader w:val="false"/>
        </w:trPr>
        <w:tc>
          <w:tcPr>
            <w:tcW w:type="dxa" w:w="3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Blok / kat adedi</w:t>
            </w:r>
          </w:p>
        </w:tc>
        <w:tc>
          <w:tcPr>
            <w:tcW w:type="dxa" w:w="5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 blok, …………… kat (bodrum dahil/hariç: ……………)</w:t>
            </w:r>
          </w:p>
        </w:tc>
      </w:tr>
      <w:tr>
        <w:trPr>
          <w:tblHeader w:val="false"/>
        </w:trPr>
        <w:tc>
          <w:tcPr>
            <w:tcW w:type="dxa" w:w="3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Bağımsız bölüm sayısı</w:t>
            </w:r>
          </w:p>
        </w:tc>
        <w:tc>
          <w:tcPr>
            <w:tcW w:type="dxa" w:w="5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 konut + …………… işyeri</w:t>
            </w:r>
          </w:p>
        </w:tc>
      </w:tr>
      <w:tr>
        <w:trPr>
          <w:tblHeader w:val="false"/>
        </w:trPr>
        <w:tc>
          <w:tcPr>
            <w:tcW w:type="dxa" w:w="3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Toplam inşaat alanı (yaklaşık)</w:t>
            </w:r>
          </w:p>
        </w:tc>
        <w:tc>
          <w:tcPr>
            <w:tcW w:type="dxa" w:w="5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 m²</w:t>
            </w:r>
          </w:p>
        </w:tc>
      </w:tr>
      <w:tr>
        <w:trPr>
          <w:tblHeader w:val="false"/>
        </w:trPr>
        <w:tc>
          <w:tcPr>
            <w:tcW w:type="dxa" w:w="3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Taşıyıcı sistem</w:t>
            </w:r>
          </w:p>
        </w:tc>
        <w:tc>
          <w:tcPr>
            <w:tcW w:type="dxa" w:w="5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 Betonarme karkas   ☐ Perde-çerçeve   ☐ Çelik</w:t>
            </w:r>
          </w:p>
        </w:tc>
      </w:tr>
      <w:tr>
        <w:trPr>
          <w:tblHeader w:val="false"/>
        </w:trPr>
        <w:tc>
          <w:tcPr>
            <w:tcW w:type="dxa" w:w="3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Esas alınan avan proje / paylaşım krokisi</w:t>
            </w:r>
          </w:p>
        </w:tc>
        <w:tc>
          <w:tcPr>
            <w:tcW w:type="dxa" w:w="5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EK-3 (tarafların paraflı nüshası)</w:t>
            </w:r>
          </w:p>
        </w:tc>
      </w:tr>
    </w:tbl>
    <w:p>
      <w:pPr>
        <w:keepNext/>
        <w:spacing w:after="120" w:before="200"/>
        <w:jc w:val="left"/>
      </w:pPr>
      <w:r>
        <w:rPr>
          <w:rFonts w:ascii="Arial" w:cs="Arial" w:eastAsia="Arial" w:hAnsi="Arial"/>
          <w:b/>
          <w:bCs/>
          <w:color w:val="26262C"/>
          <w:sz w:val="21"/>
          <w:szCs w:val="21"/>
        </w:rPr>
        <w:t xml:space="preserve">MADDE 4 — PAYLAŞIM (Bağımsız bölüm bazında)</w:t>
      </w:r>
    </w:p>
    <w:p>
      <w:pPr>
        <w:spacing w:after="120" w:before="0" w:line="276"/>
        <w:jc w:val="both"/>
      </w:pPr>
      <w:r>
        <w:rPr>
          <w:rFonts w:ascii="Arial" w:cs="Arial" w:eastAsia="Arial" w:hAnsi="Arial"/>
        </w:rPr>
        <w:t xml:space="preserve">Paylaşım yüzde olarak değil, aşağıdaki gibi bağımsız bölüm numarası, kat ve cephe belirtilerek yapılmıştır. Proje değişikliği gerekirse aynı brüt alan ve konuma en yakın bölümler esas alınır.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200"/>
        <w:gridCol w:w="1700"/>
        <w:gridCol w:w="1300"/>
        <w:gridCol w:w="3526"/>
      </w:tblGrid>
      <w:tr>
        <w:trPr>
          <w:tblHeader/>
        </w:trPr>
        <w:tc>
          <w:tcPr>
            <w:tcW w:type="dxa" w:w="13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B.B. no</w:t>
            </w:r>
          </w:p>
        </w:tc>
        <w:tc>
          <w:tcPr>
            <w:tcW w:type="dxa" w:w="12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Kat</w:t>
            </w:r>
          </w:p>
        </w:tc>
        <w:tc>
          <w:tcPr>
            <w:tcW w:type="dxa" w:w="17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Cephe</w:t>
            </w:r>
          </w:p>
        </w:tc>
        <w:tc>
          <w:tcPr>
            <w:tcW w:type="dxa" w:w="13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Brüt m²</w:t>
            </w:r>
          </w:p>
        </w:tc>
        <w:tc>
          <w:tcPr>
            <w:tcW w:type="dxa" w:w="3526"/>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Kime kalacak</w:t>
            </w:r>
          </w:p>
        </w:tc>
      </w:tr>
      <w:tr>
        <w:trPr>
          <w:tblHeader w:val="false"/>
        </w:trPr>
        <w:tc>
          <w:tcPr>
            <w:tcW w:type="dxa" w:w="1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2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7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 Arsa sahibi  ☐ Yüklenici</w:t>
            </w:r>
          </w:p>
        </w:tc>
      </w:tr>
      <w:tr>
        <w:trPr>
          <w:tblHeader w:val="false"/>
        </w:trPr>
        <w:tc>
          <w:tcPr>
            <w:tcW w:type="dxa" w:w="13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2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7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3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5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 Arsa sahibi  ☐ Yüklenici</w:t>
            </w:r>
          </w:p>
        </w:tc>
      </w:tr>
      <w:tr>
        <w:trPr>
          <w:tblHeader w:val="false"/>
        </w:trPr>
        <w:tc>
          <w:tcPr>
            <w:tcW w:type="dxa" w:w="1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2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7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 Arsa sahibi  ☐ Yüklenici</w:t>
            </w:r>
          </w:p>
        </w:tc>
      </w:tr>
      <w:tr>
        <w:trPr>
          <w:tblHeader w:val="false"/>
        </w:trPr>
        <w:tc>
          <w:tcPr>
            <w:tcW w:type="dxa" w:w="13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2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7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3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5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 Arsa sahibi  ☐ Yüklenici</w:t>
            </w:r>
          </w:p>
        </w:tc>
      </w:tr>
      <w:tr>
        <w:trPr>
          <w:tblHeader w:val="false"/>
        </w:trPr>
        <w:tc>
          <w:tcPr>
            <w:tcW w:type="dxa" w:w="1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2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7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1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 Arsa sahibi  ☐ Yüklenici</w:t>
            </w:r>
          </w:p>
        </w:tc>
      </w:tr>
    </w:tbl>
    <w:p>
      <w:r>
        <w:rPr>
          <w:rFonts w:ascii="Arial" w:cs="Arial" w:eastAsia="Arial" w:hAnsi="Arial"/>
        </w:rPr>
        <w:t xml:space="preserve"/>
      </w:r>
    </w:p>
    <w:p>
      <w:pPr>
        <w:spacing w:after="120" w:before="0" w:line="276"/>
        <w:jc w:val="both"/>
      </w:pPr>
      <w:r>
        <w:rPr>
          <w:rFonts w:ascii="Arial" w:cs="Arial" w:eastAsia="Arial" w:hAnsi="Arial"/>
        </w:rPr>
        <w:t xml:space="preserve">Toplamda ARSA SAHİBİ’ne …………… bağımsız bölüm (yaklaşık %……………), YÜKLENİCİ’ye …………… bağımsız bölüm (yaklaşık %……………) kalacaktır. Arsa payları kat irtifakı kurulurken bu dağılıma göre belirlenir.</w:t>
      </w:r>
    </w:p>
    <w:p>
      <w:pPr>
        <w:keepNext/>
        <w:spacing w:after="120" w:before="200"/>
        <w:jc w:val="left"/>
      </w:pPr>
      <w:r>
        <w:rPr>
          <w:rFonts w:ascii="Arial" w:cs="Arial" w:eastAsia="Arial" w:hAnsi="Arial"/>
          <w:b/>
          <w:bCs/>
          <w:color w:val="26262C"/>
          <w:sz w:val="21"/>
          <w:szCs w:val="21"/>
        </w:rPr>
        <w:t xml:space="preserve">MADDE 5 — ARSA PAYI DEVRİ (Kademeli)</w:t>
      </w:r>
    </w:p>
    <w:p>
      <w:pPr>
        <w:spacing w:after="120" w:before="0" w:line="276"/>
        <w:jc w:val="both"/>
      </w:pPr>
      <w:r>
        <w:rPr>
          <w:rFonts w:ascii="Arial" w:cs="Arial" w:eastAsia="Arial" w:hAnsi="Arial"/>
        </w:rPr>
        <w:t xml:space="preserve">Arsa payı YÜKLENİCİ’ye peşin değil, işin ilerlemesine bağlı olarak ve ilgili idare / yapı denetim belgesiyle doğrulanan aşamalarda devredilir: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3300"/>
        <w:gridCol w:w="2426"/>
      </w:tblGrid>
      <w:tr>
        <w:trPr>
          <w:tblHeader/>
        </w:trPr>
        <w:tc>
          <w:tcPr>
            <w:tcW w:type="dxa" w:w="33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Aşama</w:t>
            </w:r>
          </w:p>
        </w:tc>
        <w:tc>
          <w:tcPr>
            <w:tcW w:type="dxa" w:w="33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Doğrulayan belge</w:t>
            </w:r>
          </w:p>
        </w:tc>
        <w:tc>
          <w:tcPr>
            <w:tcW w:type="dxa" w:w="2426"/>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Devredilecek pay</w:t>
            </w:r>
          </w:p>
        </w:tc>
      </w:tr>
      <w:tr>
        <w:trPr>
          <w:tblHeader w:val="false"/>
        </w:trPr>
        <w:tc>
          <w:tcPr>
            <w:tcW w:type="dxa" w:w="3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Yapı ruhsatı alınması ve temel vizesi</w:t>
            </w:r>
          </w:p>
        </w:tc>
        <w:tc>
          <w:tcPr>
            <w:tcW w:type="dxa" w:w="3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Ruhsat + temel vize tutanağı</w:t>
            </w:r>
          </w:p>
        </w:tc>
        <w:tc>
          <w:tcPr>
            <w:tcW w:type="dxa" w:w="24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YÜKLENİCİ payının %……………’i</w:t>
            </w:r>
          </w:p>
        </w:tc>
      </w:tr>
      <w:tr>
        <w:trPr>
          <w:tblHeader w:val="false"/>
        </w:trPr>
        <w:tc>
          <w:tcPr>
            <w:tcW w:type="dxa" w:w="33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Kaba inşaat ve çatı tamamlanması</w:t>
            </w:r>
          </w:p>
        </w:tc>
        <w:tc>
          <w:tcPr>
            <w:tcW w:type="dxa" w:w="33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Yapı denetim hakediş / seviye tespiti</w:t>
            </w:r>
          </w:p>
        </w:tc>
        <w:tc>
          <w:tcPr>
            <w:tcW w:type="dxa" w:w="24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YÜKLENİCİ payının %……………’i</w:t>
            </w:r>
          </w:p>
        </w:tc>
      </w:tr>
      <w:tr>
        <w:trPr>
          <w:tblHeader w:val="false"/>
        </w:trPr>
        <w:tc>
          <w:tcPr>
            <w:tcW w:type="dxa" w:w="3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Yapı kullanma izni (iskân)</w:t>
            </w:r>
          </w:p>
        </w:tc>
        <w:tc>
          <w:tcPr>
            <w:tcW w:type="dxa" w:w="33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Yapı kullanma izin belgesi</w:t>
            </w:r>
          </w:p>
        </w:tc>
        <w:tc>
          <w:tcPr>
            <w:tcW w:type="dxa" w:w="24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Kalan pay</w:t>
            </w:r>
          </w:p>
        </w:tc>
      </w:tr>
    </w:tbl>
    <w:p>
      <w:r>
        <w:rPr>
          <w:rFonts w:ascii="Arial" w:cs="Arial" w:eastAsia="Arial" w:hAnsi="Arial"/>
        </w:rPr>
        <w:t xml:space="preserve"/>
      </w:r>
    </w:p>
    <w:p>
      <w:pPr>
        <w:spacing w:after="120" w:before="0" w:line="276"/>
        <w:jc w:val="both"/>
      </w:pPr>
      <w:r>
        <w:rPr>
          <w:rFonts w:ascii="Arial" w:cs="Arial" w:eastAsia="Arial" w:hAnsi="Arial"/>
        </w:rPr>
        <w:t xml:space="preserve">Sözleşme, Tapu Kanunu md. 26 uyarınca tapu kütüğüne şerh verilir. YÜKLENİCİ, kendisine devredilmemiş paylara isabet eden bağımsız bölümleri ARSA SAHİBİ’nin yazılı izni olmadan satamaz, vaat edemez, ipotek ettiremez.</w:t>
      </w:r>
    </w:p>
    <w:p>
      <w:pPr>
        <w:keepNext/>
        <w:spacing w:after="120" w:before="200"/>
        <w:jc w:val="left"/>
      </w:pPr>
      <w:r>
        <w:rPr>
          <w:rFonts w:ascii="Arial" w:cs="Arial" w:eastAsia="Arial" w:hAnsi="Arial"/>
          <w:b/>
          <w:bCs/>
          <w:color w:val="26262C"/>
          <w:sz w:val="21"/>
          <w:szCs w:val="21"/>
        </w:rPr>
        <w:t xml:space="preserve">MADDE 6 — SÜRELER</w:t>
      </w:r>
    </w:p>
    <w:p>
      <w:pPr>
        <w:pStyle w:val="ListParagraph"/>
        <w:numPr>
          <w:ilvl w:val="0"/>
          <w:numId w:val="2"/>
        </w:numPr>
        <w:spacing w:after="80"/>
        <w:jc w:val="left"/>
      </w:pPr>
      <w:r>
        <w:rPr>
          <w:rFonts w:ascii="Arial" w:cs="Arial" w:eastAsia="Arial" w:hAnsi="Arial"/>
        </w:rPr>
        <w:t xml:space="preserve">Proje ve ruhsat başvurusu: sözleşme tarihinden itibaren en geç </w:t>
      </w:r>
      <w:r>
        <w:rPr>
          <w:rFonts w:ascii="Arial" w:cs="Arial" w:eastAsia="Arial" w:hAnsi="Arial"/>
          <w:b/>
          <w:bCs/>
        </w:rPr>
        <w:t xml:space="preserve">…………… gün</w:t>
      </w:r>
      <w:r>
        <w:rPr>
          <w:rFonts w:ascii="Arial" w:cs="Arial" w:eastAsia="Arial" w:hAnsi="Arial"/>
        </w:rPr>
        <w:t xml:space="preserve"> içinde.</w:t>
      </w:r>
    </w:p>
    <w:p>
      <w:pPr>
        <w:pStyle w:val="ListParagraph"/>
        <w:numPr>
          <w:ilvl w:val="0"/>
          <w:numId w:val="2"/>
        </w:numPr>
        <w:spacing w:after="80"/>
        <w:jc w:val="left"/>
      </w:pPr>
      <w:r>
        <w:rPr>
          <w:rFonts w:ascii="Arial" w:cs="Arial" w:eastAsia="Arial" w:hAnsi="Arial"/>
        </w:rPr>
        <w:t xml:space="preserve">İnşaata fiilen başlama: yapı ruhsatı tarihinden itibaren en geç </w:t>
      </w:r>
      <w:r>
        <w:rPr>
          <w:rFonts w:ascii="Arial" w:cs="Arial" w:eastAsia="Arial" w:hAnsi="Arial"/>
          <w:b/>
          <w:bCs/>
        </w:rPr>
        <w:t xml:space="preserve">…………… gün</w:t>
      </w:r>
      <w:r>
        <w:rPr>
          <w:rFonts w:ascii="Arial" w:cs="Arial" w:eastAsia="Arial" w:hAnsi="Arial"/>
        </w:rPr>
        <w:t xml:space="preserve"> içinde.</w:t>
      </w:r>
    </w:p>
    <w:p>
      <w:pPr>
        <w:pStyle w:val="ListParagraph"/>
        <w:numPr>
          <w:ilvl w:val="0"/>
          <w:numId w:val="2"/>
        </w:numPr>
        <w:spacing w:after="80"/>
        <w:jc w:val="left"/>
      </w:pPr>
      <w:r>
        <w:rPr>
          <w:rFonts w:ascii="Arial" w:cs="Arial" w:eastAsia="Arial" w:hAnsi="Arial"/>
        </w:rPr>
        <w:t xml:space="preserve">Anahtar teslim ve iskân: </w:t>
      </w:r>
      <w:r>
        <w:rPr>
          <w:rFonts w:ascii="Arial" w:cs="Arial" w:eastAsia="Arial" w:hAnsi="Arial"/>
          <w:b/>
          <w:bCs/>
        </w:rPr>
        <w:t xml:space="preserve">yapı ruhsatı tarihinden itibaren …………… ay</w:t>
      </w:r>
      <w:r>
        <w:rPr>
          <w:rFonts w:ascii="Arial" w:cs="Arial" w:eastAsia="Arial" w:hAnsi="Arial"/>
        </w:rPr>
        <w:t xml:space="preserve"> içinde. Süre ruhsat tarihinden başlar; “inşaata başlandıktan sonra” gibi belirsiz bir başlangıç kullanılmaz.</w:t>
      </w:r>
    </w:p>
    <w:p>
      <w:pPr>
        <w:pStyle w:val="ListParagraph"/>
        <w:numPr>
          <w:ilvl w:val="0"/>
          <w:numId w:val="2"/>
        </w:numPr>
        <w:spacing w:after="80"/>
        <w:jc w:val="left"/>
      </w:pPr>
      <w:r>
        <w:rPr>
          <w:rFonts w:ascii="Arial" w:cs="Arial" w:eastAsia="Arial" w:hAnsi="Arial"/>
        </w:rPr>
        <w:t xml:space="preserve">Mücbir sebep yalnızca deprem, sel, yangın, salgın nedeniyle resmî çalışma yasağı ve idarenin kusurundan doğan durdurma ile sınırlıdır; malzeme fiyat artışı, işçi bulamama ve finansman sıkıntısı mücbir sebep sayılmaz.</w:t>
      </w:r>
    </w:p>
    <w:p>
      <w:pPr>
        <w:keepNext/>
        <w:spacing w:after="120" w:before="200"/>
        <w:jc w:val="left"/>
      </w:pPr>
      <w:r>
        <w:rPr>
          <w:rFonts w:ascii="Arial" w:cs="Arial" w:eastAsia="Arial" w:hAnsi="Arial"/>
          <w:b/>
          <w:bCs/>
          <w:color w:val="26262C"/>
          <w:sz w:val="21"/>
          <w:szCs w:val="21"/>
        </w:rPr>
        <w:t xml:space="preserve">MADDE 7 — GECİKME CEZASI VE KİRA YARDIMI</w:t>
      </w:r>
    </w:p>
    <w:p>
      <w:pPr>
        <w:spacing w:after="120" w:before="0" w:line="276"/>
        <w:jc w:val="both"/>
      </w:pPr>
      <w:r>
        <w:rPr>
          <w:rFonts w:ascii="Arial" w:cs="Arial" w:eastAsia="Arial" w:hAnsi="Arial"/>
        </w:rPr>
        <w:t xml:space="preserve">Teslim süresinin aşılması hâlinde YÜKLENİCİ, gecikilen her ay için ARSA SAHİBİ’ne düşen her bağımsız bölüm başına </w:t>
      </w:r>
      <w:r>
        <w:rPr>
          <w:rFonts w:ascii="Arial" w:cs="Arial" w:eastAsia="Arial" w:hAnsi="Arial"/>
          <w:b/>
          <w:bCs/>
        </w:rPr>
        <w:t xml:space="preserve">…………… TL</w:t>
      </w:r>
      <w:r>
        <w:rPr>
          <w:rFonts w:ascii="Arial" w:cs="Arial" w:eastAsia="Arial" w:hAnsi="Arial"/>
        </w:rPr>
        <w:t xml:space="preserve"> gecikme cezası öder. Bu tutar her yıl TÜFE oranında artırılır. Gecikme cezası, teslimle birlikte ayrıca istenebilir (TBK md. 179/2); ARSA SAHİBİ teslimi alırken ceza hakkını saklı tuttuğunu yazılı olarak belirtir.</w:t>
      </w:r>
    </w:p>
    <w:p>
      <w:pPr>
        <w:spacing w:after="120" w:before="0" w:line="276"/>
        <w:jc w:val="both"/>
      </w:pPr>
      <w:r>
        <w:rPr>
          <w:rFonts w:ascii="Arial" w:cs="Arial" w:eastAsia="Arial" w:hAnsi="Arial"/>
        </w:rPr>
        <w:t xml:space="preserve">İnşaat süresince yıkılan yapıda oturan ARSA SAHİBİ’ne YÜKLENİCİ tarafından her ayın ……………. gününe kadar aylık </w:t>
      </w:r>
      <w:r>
        <w:rPr>
          <w:rFonts w:ascii="Arial" w:cs="Arial" w:eastAsia="Arial" w:hAnsi="Arial"/>
          <w:b/>
          <w:bCs/>
        </w:rPr>
        <w:t xml:space="preserve">…………… TL</w:t>
      </w:r>
      <w:r>
        <w:rPr>
          <w:rFonts w:ascii="Arial" w:cs="Arial" w:eastAsia="Arial" w:hAnsi="Arial"/>
        </w:rPr>
        <w:t xml:space="preserve"> kira yardımı ödenir (yıllık TÜFE artışlı). Kira yardımı teslim tarihine kadar, gecikme hâlinde de devam eder.</w:t>
      </w:r>
    </w:p>
    <w:p>
      <w:pPr>
        <w:keepNext/>
        <w:spacing w:after="120" w:before="200"/>
        <w:jc w:val="left"/>
      </w:pPr>
      <w:r>
        <w:rPr>
          <w:rFonts w:ascii="Arial" w:cs="Arial" w:eastAsia="Arial" w:hAnsi="Arial"/>
          <w:b/>
          <w:bCs/>
          <w:color w:val="26262C"/>
          <w:sz w:val="21"/>
          <w:szCs w:val="21"/>
        </w:rPr>
        <w:t xml:space="preserve">MADDE 8 — TEMİNAT</w:t>
      </w:r>
    </w:p>
    <w:p>
      <w:pPr>
        <w:spacing w:after="120" w:before="0" w:line="276"/>
        <w:jc w:val="both"/>
      </w:pPr>
      <w:r>
        <w:rPr>
          <w:rFonts w:ascii="Arial" w:cs="Arial" w:eastAsia="Arial" w:hAnsi="Arial"/>
        </w:rPr>
        <w:t xml:space="preserve">YÜKLENİCİ, sözleşme imzası sırasında </w:t>
      </w:r>
      <w:r>
        <w:rPr>
          <w:rFonts w:ascii="Arial" w:cs="Arial" w:eastAsia="Arial" w:hAnsi="Arial"/>
          <w:b/>
          <w:bCs/>
        </w:rPr>
        <w:t xml:space="preserve">…………… TL</w:t>
      </w:r>
      <w:r>
        <w:rPr>
          <w:rFonts w:ascii="Arial" w:cs="Arial" w:eastAsia="Arial" w:hAnsi="Arial"/>
        </w:rPr>
        <w:t xml:space="preserve"> tutarında süresiz ve kesin banka teminat mektubu verir / ARSA SAHİBİ lehine …………… TL bedelli ipotek tesis ettirir. Teminat, yapı kullanma izni alınıp bağımsız bölümler eksiksiz teslim edildiğinde iade edilir.</w:t>
      </w:r>
    </w:p>
    <w:p>
      <w:pPr>
        <w:keepNext/>
        <w:spacing w:after="120" w:before="200"/>
        <w:jc w:val="left"/>
      </w:pPr>
      <w:r>
        <w:rPr>
          <w:rFonts w:ascii="Arial" w:cs="Arial" w:eastAsia="Arial" w:hAnsi="Arial"/>
          <w:b/>
          <w:bCs/>
          <w:color w:val="26262C"/>
          <w:sz w:val="21"/>
          <w:szCs w:val="21"/>
        </w:rPr>
        <w:t xml:space="preserve">MADDE 9 — MASRAFLAR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500"/>
        <w:gridCol w:w="3526"/>
      </w:tblGrid>
      <w:tr>
        <w:trPr>
          <w:tblHeader/>
        </w:trPr>
        <w:tc>
          <w:tcPr>
            <w:tcW w:type="dxa" w:w="55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Masraf kalemi</w:t>
            </w:r>
          </w:p>
        </w:tc>
        <w:tc>
          <w:tcPr>
            <w:tcW w:type="dxa" w:w="3526"/>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Kime ait</w:t>
            </w:r>
          </w:p>
        </w:tc>
      </w:tr>
      <w:tr>
        <w:trPr>
          <w:tblHeader w:val="false"/>
        </w:trPr>
        <w:tc>
          <w:tcPr>
            <w:tcW w:type="dxa" w:w="55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Zemin etüdü, harita, mimari-statik-tesisat projeleri</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YÜKLENİCİ</w:t>
            </w:r>
          </w:p>
        </w:tc>
      </w:tr>
      <w:tr>
        <w:trPr>
          <w:tblHeader w:val="false"/>
        </w:trPr>
        <w:tc>
          <w:tcPr>
            <w:tcW w:type="dxa" w:w="55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Ruhsat harçları, yapı denetim hizmet bedeli, şantiye şefliği</w:t>
            </w:r>
          </w:p>
        </w:tc>
        <w:tc>
          <w:tcPr>
            <w:tcW w:type="dxa" w:w="35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YÜKLENİCİ</w:t>
            </w:r>
          </w:p>
        </w:tc>
      </w:tr>
      <w:tr>
        <w:trPr>
          <w:tblHeader w:val="false"/>
        </w:trPr>
        <w:tc>
          <w:tcPr>
            <w:tcW w:type="dxa" w:w="55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SGK primleri ve ilişiksizlik belgesi</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YÜKLENİCİ</w:t>
            </w:r>
          </w:p>
        </w:tc>
      </w:tr>
      <w:tr>
        <w:trPr>
          <w:tblHeader w:val="false"/>
        </w:trPr>
        <w:tc>
          <w:tcPr>
            <w:tcW w:type="dxa" w:w="55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Yıkım, hafriyat, elektrik-su-doğalgaz-kanal abonelik ve bağlantı bedelleri</w:t>
            </w:r>
          </w:p>
        </w:tc>
        <w:tc>
          <w:tcPr>
            <w:tcW w:type="dxa" w:w="35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YÜKLENİCİ</w:t>
            </w:r>
          </w:p>
        </w:tc>
      </w:tr>
      <w:tr>
        <w:trPr>
          <w:tblHeader w:val="false"/>
        </w:trPr>
        <w:tc>
          <w:tcPr>
            <w:tcW w:type="dxa" w:w="55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Kat irtifakı / kat mülkiyeti tescil masrafları</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 YÜKLENİCİ  ☐ Payları oranında  ☐ ……………</w:t>
            </w:r>
          </w:p>
        </w:tc>
      </w:tr>
      <w:tr>
        <w:trPr>
          <w:tblHeader w:val="false"/>
        </w:trPr>
        <w:tc>
          <w:tcPr>
            <w:tcW w:type="dxa" w:w="55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Noter masrafları (bu sözleşme)</w:t>
            </w:r>
          </w:p>
        </w:tc>
        <w:tc>
          <w:tcPr>
            <w:tcW w:type="dxa" w:w="35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 YÜKLENİCİ  ☐ Yarı yarıya  ☐ ……………</w:t>
            </w:r>
          </w:p>
        </w:tc>
      </w:tr>
      <w:tr>
        <w:trPr>
          <w:tblHeader w:val="false"/>
        </w:trPr>
        <w:tc>
          <w:tcPr>
            <w:tcW w:type="dxa" w:w="55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Tapu harçları (arsa payı devri)</w:t>
            </w:r>
          </w:p>
        </w:tc>
        <w:tc>
          <w:tcPr>
            <w:tcW w:type="dxa" w:w="35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Kanunen yükümlü olan taraf; aksi kararlaştırılırsa: ……………</w:t>
            </w:r>
          </w:p>
        </w:tc>
      </w:tr>
    </w:tbl>
    <w:p>
      <w:r>
        <w:rPr>
          <w:rFonts w:ascii="Arial" w:cs="Arial" w:eastAsia="Arial" w:hAnsi="Arial"/>
        </w:rPr>
        <w:t xml:space="preserve"/>
      </w:r>
    </w:p>
    <w:p>
      <w:pPr>
        <w:spacing w:after="120" w:before="0" w:line="276"/>
        <w:jc w:val="both"/>
      </w:pPr>
      <w:r>
        <w:rPr>
          <w:rFonts w:ascii="Arial" w:cs="Arial" w:eastAsia="Arial" w:hAnsi="Arial"/>
        </w:rPr>
        <w:t xml:space="preserve">Bu tabloda yazılmayan ve yapının tamamlanması için gereken her türlü masraf YÜKLENİCİ’ye aittir.</w:t>
      </w:r>
    </w:p>
    <w:p>
      <w:pPr>
        <w:keepNext/>
        <w:spacing w:after="120" w:before="200"/>
        <w:jc w:val="left"/>
      </w:pPr>
      <w:r>
        <w:rPr>
          <w:rFonts w:ascii="Arial" w:cs="Arial" w:eastAsia="Arial" w:hAnsi="Arial"/>
          <w:b/>
          <w:bCs/>
          <w:color w:val="26262C"/>
          <w:sz w:val="21"/>
          <w:szCs w:val="21"/>
        </w:rPr>
        <w:t xml:space="preserve">MADDE 10 — TEKNİK ŞARTNAME VE DENETİM</w:t>
      </w:r>
    </w:p>
    <w:p>
      <w:pPr>
        <w:spacing w:after="120" w:before="0" w:line="276"/>
        <w:jc w:val="both"/>
      </w:pPr>
      <w:r>
        <w:rPr>
          <w:rFonts w:ascii="Arial" w:cs="Arial" w:eastAsia="Arial" w:hAnsi="Arial"/>
        </w:rPr>
        <w:t xml:space="preserve">Yapı, onaylı projelere, TBDY 2018 ve ilgili standartlara ve bu sözleşmenin ayrılmaz parçası olan </w:t>
      </w:r>
      <w:r>
        <w:rPr>
          <w:rFonts w:ascii="Arial" w:cs="Arial" w:eastAsia="Arial" w:hAnsi="Arial"/>
          <w:b/>
          <w:bCs/>
        </w:rPr>
        <w:t xml:space="preserve">EK-2 Teknik Şartname</w:t>
      </w:r>
      <w:r>
        <w:rPr>
          <w:rFonts w:ascii="Arial" w:cs="Arial" w:eastAsia="Arial" w:hAnsi="Arial"/>
        </w:rPr>
        <w:t xml:space="preserve">’ye uygun yapılır. Şartnamede malzemeler marka/sınıf/kalınlık olarak yazılır; “birinci sınıf malzeme” gibi ölçülemeyen ifadeler kullanılmaz.</w:t>
      </w:r>
    </w:p>
    <w:p>
      <w:pPr>
        <w:spacing w:after="120" w:before="0" w:line="276"/>
        <w:jc w:val="both"/>
      </w:pPr>
      <w:r>
        <w:rPr>
          <w:rFonts w:ascii="Arial" w:cs="Arial" w:eastAsia="Arial" w:hAnsi="Arial"/>
        </w:rPr>
        <w:t xml:space="preserve">Beton numune ve karot sonuçları, yapı denetim seviye tespit tutanakları ve EBİS kayıtlarının bir sureti istendiğinde ARSA SAHİBİ’ne verilir. ARSA SAHİBİ kendi masrafıyla bir mühendis görevlendirerek inşaatı takip ettirebilir.</w:t>
      </w:r>
    </w:p>
    <w:p>
      <w:pPr>
        <w:keepNext/>
        <w:spacing w:after="120" w:before="200"/>
        <w:jc w:val="left"/>
      </w:pPr>
      <w:r>
        <w:rPr>
          <w:rFonts w:ascii="Arial" w:cs="Arial" w:eastAsia="Arial" w:hAnsi="Arial"/>
          <w:b/>
          <w:bCs/>
          <w:color w:val="26262C"/>
          <w:sz w:val="21"/>
          <w:szCs w:val="21"/>
        </w:rPr>
        <w:t xml:space="preserve">MADDE 11 — DEVİR YASAĞI</w:t>
      </w:r>
    </w:p>
    <w:p>
      <w:pPr>
        <w:spacing w:after="120" w:before="0" w:line="276"/>
        <w:jc w:val="both"/>
      </w:pPr>
      <w:r>
        <w:rPr>
          <w:rFonts w:ascii="Arial" w:cs="Arial" w:eastAsia="Arial" w:hAnsi="Arial"/>
        </w:rPr>
        <w:t xml:space="preserve">YÜKLENİCİ bu sözleşmeden doğan hak ve borçlarını ARSA SAHİBİ’nin noterden verilmiş yazılı onayı olmadan üçüncü kişilere devredemez. Taşeron kullanılması YÜKLENİCİ’nin sorumluluğunu ortadan kaldırmaz.</w:t>
      </w:r>
    </w:p>
    <w:p>
      <w:pPr>
        <w:keepNext/>
        <w:spacing w:after="120" w:before="200"/>
        <w:jc w:val="left"/>
      </w:pPr>
      <w:r>
        <w:rPr>
          <w:rFonts w:ascii="Arial" w:cs="Arial" w:eastAsia="Arial" w:hAnsi="Arial"/>
          <w:b/>
          <w:bCs/>
          <w:color w:val="26262C"/>
          <w:sz w:val="21"/>
          <w:szCs w:val="21"/>
        </w:rPr>
        <w:t xml:space="preserve">MADDE 12 — SÖZLEŞMEDEN DÖNME VE FESİH</w:t>
      </w:r>
    </w:p>
    <w:p>
      <w:pPr>
        <w:pStyle w:val="ListParagraph"/>
        <w:numPr>
          <w:ilvl w:val="0"/>
          <w:numId w:val="2"/>
        </w:numPr>
        <w:spacing w:after="80"/>
        <w:jc w:val="left"/>
      </w:pPr>
      <w:r>
        <w:rPr>
          <w:rFonts w:ascii="Arial" w:cs="Arial" w:eastAsia="Arial" w:hAnsi="Arial"/>
        </w:rPr>
        <w:t xml:space="preserve">YÜKLENİCİ işe süresinde başlamaz veya işi teslim süresine yetişmeyecek ölçüde geciktirirse ARSA SAHİBİ noter kanalıyla …………… günlük ek süre verir; bu sürede de aykırılık giderilmezse sözleşmeden dönebilir (TBK md. 473).</w:t>
      </w:r>
    </w:p>
    <w:p>
      <w:pPr>
        <w:pStyle w:val="ListParagraph"/>
        <w:numPr>
          <w:ilvl w:val="0"/>
          <w:numId w:val="2"/>
        </w:numPr>
        <w:spacing w:after="80"/>
        <w:jc w:val="left"/>
      </w:pPr>
      <w:r>
        <w:rPr>
          <w:rFonts w:ascii="Arial" w:cs="Arial" w:eastAsia="Arial" w:hAnsi="Arial"/>
        </w:rPr>
        <w:t xml:space="preserve">Dönme hâlinde, devredilmiş arsa payları ARSA SAHİBİ’ne iade edilir; yapılan imalatın bedeli ancak ARSA SAHİBİ’ne sağladığı fayda ölçüsünde, bilirkişi tespitiyle değerlendirilir.</w:t>
      </w:r>
    </w:p>
    <w:p>
      <w:pPr>
        <w:pStyle w:val="ListParagraph"/>
        <w:numPr>
          <w:ilvl w:val="0"/>
          <w:numId w:val="2"/>
        </w:numPr>
        <w:spacing w:after="80"/>
        <w:jc w:val="left"/>
      </w:pPr>
      <w:r>
        <w:rPr>
          <w:rFonts w:ascii="Arial" w:cs="Arial" w:eastAsia="Arial" w:hAnsi="Arial"/>
        </w:rPr>
        <w:t xml:space="preserve">Dönme veya fesih anında yapının seviyesi, yapı denetim kuruluşu ve iki tarafın katılımıyla tutanağa bağlanır.</w:t>
      </w:r>
    </w:p>
    <w:p>
      <w:pPr>
        <w:keepNext/>
        <w:spacing w:after="120" w:before="200"/>
        <w:jc w:val="left"/>
      </w:pPr>
      <w:r>
        <w:rPr>
          <w:rFonts w:ascii="Arial" w:cs="Arial" w:eastAsia="Arial" w:hAnsi="Arial"/>
          <w:b/>
          <w:bCs/>
          <w:color w:val="26262C"/>
          <w:sz w:val="21"/>
          <w:szCs w:val="21"/>
        </w:rPr>
        <w:t xml:space="preserve">MADDE 13 — TESLİM VE AYIP SORUMLULUĞU</w:t>
      </w:r>
    </w:p>
    <w:p>
      <w:pPr>
        <w:spacing w:after="120" w:before="0" w:line="276"/>
        <w:jc w:val="both"/>
      </w:pPr>
      <w:r>
        <w:rPr>
          <w:rFonts w:ascii="Arial" w:cs="Arial" w:eastAsia="Arial" w:hAnsi="Arial"/>
        </w:rPr>
        <w:t xml:space="preserve">Teslim, iskân alınmış, abonelikleri yapılmış ve EK-2’ye uygun bağımsız bölümlerin anahtarlarının bir tutanakla verilmesiyle gerçekleşir. Teslimde görülen eksikler tutanağa yazılır ve en geç …………… gün içinde giderilir. YÜKLENİCİ’nin gizli ayıplardan sorumluluğu kanuni süreler boyunca devam eder.</w:t>
      </w:r>
    </w:p>
    <w:p>
      <w:pPr>
        <w:keepNext/>
        <w:spacing w:after="120" w:before="200"/>
        <w:jc w:val="left"/>
      </w:pPr>
      <w:r>
        <w:rPr>
          <w:rFonts w:ascii="Arial" w:cs="Arial" w:eastAsia="Arial" w:hAnsi="Arial"/>
          <w:b/>
          <w:bCs/>
          <w:color w:val="26262C"/>
          <w:sz w:val="21"/>
          <w:szCs w:val="21"/>
        </w:rPr>
        <w:t xml:space="preserve">MADDE 14 — ÖLÜM, İFLAS, MİRAS</w:t>
      </w:r>
    </w:p>
    <w:p>
      <w:pPr>
        <w:spacing w:after="120" w:before="0" w:line="276"/>
        <w:jc w:val="both"/>
      </w:pPr>
      <w:r>
        <w:rPr>
          <w:rFonts w:ascii="Arial" w:cs="Arial" w:eastAsia="Arial" w:hAnsi="Arial"/>
        </w:rPr>
        <w:t xml:space="preserve">Taraflardan birinin ölümü hâlinde sözleşme mirasçıları bakımından aynen devam eder. YÜKLENİCİ’nin iflası, konkordato ilanı veya yetki belgesinin iptali, ARSA SAHİBİ’ne sözleşmeden dönme hakkı verir.</w:t>
      </w:r>
    </w:p>
    <w:p>
      <w:pPr>
        <w:keepNext/>
        <w:spacing w:after="120" w:before="200"/>
        <w:jc w:val="left"/>
      </w:pPr>
      <w:r>
        <w:rPr>
          <w:rFonts w:ascii="Arial" w:cs="Arial" w:eastAsia="Arial" w:hAnsi="Arial"/>
          <w:b/>
          <w:bCs/>
          <w:color w:val="26262C"/>
          <w:sz w:val="21"/>
          <w:szCs w:val="21"/>
        </w:rPr>
        <w:t xml:space="preserve">MADDE 15 — UYUŞMAZLIK</w:t>
      </w:r>
    </w:p>
    <w:p>
      <w:pPr>
        <w:spacing w:after="120" w:before="0" w:line="276"/>
        <w:jc w:val="both"/>
      </w:pPr>
      <w:r>
        <w:rPr>
          <w:rFonts w:ascii="Arial" w:cs="Arial" w:eastAsia="Arial" w:hAnsi="Arial"/>
        </w:rPr>
        <w:t xml:space="preserve">Bu sözleşmeden doğacak uyuşmazlıklarda …………… mahkemeleri ve icra daireleri yetkilidir.</w:t>
      </w:r>
    </w:p>
    <w:p>
      <w:pPr>
        <w:keepNext/>
        <w:spacing w:after="120" w:before="200"/>
        <w:jc w:val="left"/>
      </w:pPr>
      <w:r>
        <w:rPr>
          <w:rFonts w:ascii="Arial" w:cs="Arial" w:eastAsia="Arial" w:hAnsi="Arial"/>
          <w:b/>
          <w:bCs/>
          <w:color w:val="26262C"/>
          <w:sz w:val="21"/>
          <w:szCs w:val="21"/>
        </w:rPr>
        <w:t xml:space="preserve">MADDE 16 — EKLER</w:t>
      </w:r>
    </w:p>
    <w:p>
      <w:pPr>
        <w:pStyle w:val="ListParagraph"/>
        <w:numPr>
          <w:ilvl w:val="0"/>
          <w:numId w:val="3"/>
        </w:numPr>
        <w:spacing w:after="80"/>
        <w:jc w:val="left"/>
      </w:pPr>
      <w:r>
        <w:rPr>
          <w:rFonts w:ascii="Arial" w:cs="Arial" w:eastAsia="Arial" w:hAnsi="Arial"/>
        </w:rPr>
        <w:t xml:space="preserve">EK-1: Tapu kaydı ve imar durumu belgesi</w:t>
      </w:r>
    </w:p>
    <w:p>
      <w:pPr>
        <w:pStyle w:val="ListParagraph"/>
        <w:numPr>
          <w:ilvl w:val="0"/>
          <w:numId w:val="3"/>
        </w:numPr>
        <w:spacing w:after="80"/>
        <w:jc w:val="left"/>
      </w:pPr>
      <w:r>
        <w:rPr>
          <w:rFonts w:ascii="Arial" w:cs="Arial" w:eastAsia="Arial" w:hAnsi="Arial"/>
        </w:rPr>
        <w:t xml:space="preserve">EK-2: Teknik şartname (malzeme marka/sınıf listesi)</w:t>
      </w:r>
    </w:p>
    <w:p>
      <w:pPr>
        <w:pStyle w:val="ListParagraph"/>
        <w:numPr>
          <w:ilvl w:val="0"/>
          <w:numId w:val="3"/>
        </w:numPr>
        <w:spacing w:after="80"/>
        <w:jc w:val="left"/>
      </w:pPr>
      <w:r>
        <w:rPr>
          <w:rFonts w:ascii="Arial" w:cs="Arial" w:eastAsia="Arial" w:hAnsi="Arial"/>
        </w:rPr>
        <w:t xml:space="preserve">EK-3: Avan proje ve paylaşım krokisi (tarafların paraflı nüshası)</w:t>
      </w:r>
    </w:p>
    <w:p>
      <w:pPr>
        <w:pStyle w:val="ListParagraph"/>
        <w:numPr>
          <w:ilvl w:val="0"/>
          <w:numId w:val="3"/>
        </w:numPr>
        <w:spacing w:after="80"/>
        <w:jc w:val="left"/>
      </w:pPr>
      <w:r>
        <w:rPr>
          <w:rFonts w:ascii="Arial" w:cs="Arial" w:eastAsia="Arial" w:hAnsi="Arial"/>
        </w:rPr>
        <w:t xml:space="preserve">EK-4: Teminat mektubu / ipotek belgesi</w:t>
      </w:r>
    </w:p>
    <w:p>
      <w:pPr>
        <w:pStyle w:val="ListParagraph"/>
        <w:numPr>
          <w:ilvl w:val="0"/>
          <w:numId w:val="3"/>
        </w:numPr>
        <w:spacing w:after="80"/>
        <w:jc w:val="left"/>
      </w:pPr>
      <w:r>
        <w:rPr>
          <w:rFonts w:ascii="Arial" w:cs="Arial" w:eastAsia="Arial" w:hAnsi="Arial"/>
        </w:rPr>
        <w:t xml:space="preserve">EK-5: Yüklenicinin yetki belgesi ve vergi levhası sureti</w:t>
      </w:r>
    </w:p>
    <w:p>
      <w:r>
        <w:rPr>
          <w:rFonts w:ascii="Arial" w:cs="Arial" w:eastAsia="Arial" w:hAnsi="Arial"/>
        </w:rPr>
        <w:t xml:space="preserve"/>
      </w:r>
    </w:p>
    <w:p>
      <w:pPr>
        <w:spacing w:after="120" w:before="0" w:line="276"/>
        <w:jc w:val="both"/>
      </w:pPr>
      <w:r>
        <w:rPr>
          <w:rFonts w:ascii="Arial" w:cs="Arial" w:eastAsia="Arial" w:hAnsi="Arial"/>
        </w:rPr>
        <w:t xml:space="preserve">İşbu sözleşme ……………/……………/2026 tarihinde …………… Noterliğinde düzenleme şeklinde imza altına alınmıştır.</w:t>
      </w:r>
    </w:p>
    <w:p>
      <w:r>
        <w:rPr>
          <w:rFonts w:ascii="Arial" w:cs="Arial" w:eastAsia="Arial" w:hAnsi="Arial"/>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ARSA SAHİBİ / SAHİPLERİ</w:t>
            </w:r>
          </w:p>
        </w:tc>
        <w:tc>
          <w:tcPr>
            <w:tcW w:type="dxa" w:w="4513"/>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YÜKLENİCİ</w:t>
            </w:r>
          </w:p>
        </w:tc>
      </w:tr>
      <w:tr>
        <w:trPr>
          <w:tblHeader w:val="false"/>
        </w:trPr>
        <w:tc>
          <w:tcPr>
            <w:tcW w:type="dxa" w:w="4513"/>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Adı Soyadı / İmza: ……………………………</w:t>
            </w:r>
          </w:p>
        </w:tc>
        <w:tc>
          <w:tcPr>
            <w:tcW w:type="dxa" w:w="4513"/>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Unvan / Yetkili / İmza: ……………………………</w:t>
            </w:r>
          </w:p>
        </w:tc>
      </w:tr>
    </w:tbl>
    <w:p>
      <w:r>
        <w:br w:type="page"/>
      </w:r>
    </w:p>
    <w:p>
      <w:pPr>
        <w:keepNext/>
        <w:spacing w:after="120" w:before="0"/>
        <w:jc w:val="left"/>
      </w:pPr>
      <w:r>
        <w:rPr>
          <w:rFonts w:ascii="Arial" w:cs="Arial" w:eastAsia="Arial" w:hAnsi="Arial"/>
          <w:b/>
          <w:bCs/>
          <w:color w:val="26262C"/>
          <w:sz w:val="24"/>
          <w:szCs w:val="24"/>
        </w:rPr>
        <w:t xml:space="preserve">İmza Öncesi Kontrol Listesi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226"/>
        <w:gridCol w:w="800"/>
      </w:tblGrid>
      <w:tr>
        <w:trPr>
          <w:tblHeader/>
        </w:trPr>
        <w:tc>
          <w:tcPr>
            <w:tcW w:type="dxa" w:w="8226"/>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Kontrol</w:t>
            </w:r>
          </w:p>
        </w:tc>
        <w:tc>
          <w:tcPr>
            <w:tcW w:type="dxa" w:w="800"/>
            <w:tcBorders>
              <w:top w:val="single" w:color="BBBBCC" w:sz="4"/>
              <w:left w:val="single" w:color="BBBBCC" w:sz="4"/>
              <w:bottom w:val="single" w:color="BBBBCC" w:sz="4"/>
              <w:right w:val="single" w:color="BBBBCC" w:sz="4"/>
            </w:tcBorders>
            <w:shd w:fill="4146F3" w:color="auto" w:val="clear"/>
            <w:tcMar>
              <w:top w:type="dxa" w:w="70"/>
              <w:left w:type="dxa" w:w="110"/>
              <w:bottom w:type="dxa" w:w="70"/>
              <w:right w:type="dxa" w:w="110"/>
            </w:tcMar>
          </w:tcPr>
          <w:p>
            <w:pPr>
              <w:spacing w:after="0"/>
            </w:pPr>
            <w:r>
              <w:rPr>
                <w:rFonts w:ascii="Arial" w:cs="Arial" w:eastAsia="Arial" w:hAnsi="Arial"/>
                <w:b/>
                <w:bCs/>
                <w:color w:val="FFFFFF"/>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Sözleşme noterde, düzenleme şeklinde yapılacak (adi yazılı değil)</w:t>
            </w:r>
          </w:p>
        </w:tc>
        <w:tc>
          <w:tcPr>
            <w:tcW w:type="dxa" w:w="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Tüm hissedarlar taraf ve imzacı; vekâletle imzada vekâletname bu işi kapsıyor</w:t>
            </w:r>
          </w:p>
        </w:tc>
        <w:tc>
          <w:tcPr>
            <w:tcW w:type="dxa" w:w="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Müteahhidin yetki belgesi grubu, yapının büyüklüğüne yetiyor (e-Devlet / YAMBİS kontrolü)</w:t>
            </w:r>
          </w:p>
        </w:tc>
        <w:tc>
          <w:tcPr>
            <w:tcW w:type="dxa" w:w="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Paylaşım bağımsız bölüm no + kat + cephe + m² ile yazıldı</w:t>
            </w:r>
          </w:p>
        </w:tc>
        <w:tc>
          <w:tcPr>
            <w:tcW w:type="dxa" w:w="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Arsa payı devri kademeli; her aşama bir resmî belgeye bağlı</w:t>
            </w:r>
          </w:p>
        </w:tc>
        <w:tc>
          <w:tcPr>
            <w:tcW w:type="dxa" w:w="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Teslim süresi ruhsat tarihinden başlıyor; gecikme cezası rakamla yazıldı</w:t>
            </w:r>
          </w:p>
        </w:tc>
        <w:tc>
          <w:tcPr>
            <w:tcW w:type="dxa" w:w="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Kira yardımı tutarı, ödeme günü ve artış yöntemi yazıldı</w:t>
            </w:r>
          </w:p>
        </w:tc>
        <w:tc>
          <w:tcPr>
            <w:tcW w:type="dxa" w:w="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Teminat mektubu veya ipotek var; iade şartı iskân + teslim</w:t>
            </w:r>
          </w:p>
        </w:tc>
        <w:tc>
          <w:tcPr>
            <w:tcW w:type="dxa" w:w="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Teknik şartname (EK-2) marka/sınıf/kalınlıkla eklendi</w:t>
            </w:r>
          </w:p>
        </w:tc>
        <w:tc>
          <w:tcPr>
            <w:tcW w:type="dxa" w:w="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Masraf tablosunda boş kalem kalmadı</w:t>
            </w:r>
          </w:p>
        </w:tc>
        <w:tc>
          <w:tcPr>
            <w:tcW w:type="dxa" w:w="800"/>
            <w:tcBorders>
              <w:top w:val="single" w:color="BBBBCC" w:sz="4"/>
              <w:left w:val="single" w:color="BBBBCC" w:sz="4"/>
              <w:bottom w:val="single" w:color="BBBBCC" w:sz="4"/>
              <w:right w:val="single" w:color="BBBBCC" w:sz="4"/>
            </w:tcBorders>
            <w:shd w:fill="F5F5FB" w:color="auto" w:val="clear"/>
            <w:tcMar>
              <w:top w:type="dxa" w:w="70"/>
              <w:left w:type="dxa" w:w="110"/>
              <w:bottom w:type="dxa" w:w="70"/>
              <w:right w:type="dxa" w:w="110"/>
            </w:tcMar>
          </w:tcPr>
          <w:p>
            <w:pPr>
              <w:spacing w:after="0"/>
            </w:pPr>
            <w:r>
              <w:rPr>
                <w:rFonts w:ascii="Arial" w:cs="Arial" w:eastAsia="Arial" w:hAnsi="Arial"/>
                <w:sz w:val="19"/>
                <w:szCs w:val="19"/>
              </w:rPr>
              <w:t xml:space="preserve">☐</w:t>
            </w:r>
          </w:p>
        </w:tc>
      </w:tr>
      <w:tr>
        <w:trPr>
          <w:tblHeader w:val="false"/>
        </w:trPr>
        <w:tc>
          <w:tcPr>
            <w:tcW w:type="dxa" w:w="8226"/>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Sözleşme tapuya şerh edilecek</w:t>
            </w:r>
          </w:p>
        </w:tc>
        <w:tc>
          <w:tcPr>
            <w:tcW w:type="dxa" w:w="800"/>
            <w:tcBorders>
              <w:top w:val="single" w:color="BBBBCC" w:sz="4"/>
              <w:left w:val="single" w:color="BBBBCC" w:sz="4"/>
              <w:bottom w:val="single" w:color="BBBBCC" w:sz="4"/>
              <w:right w:val="single" w:color="BBBBCC" w:sz="4"/>
            </w:tcBorders>
            <w:tcMar>
              <w:top w:type="dxa" w:w="70"/>
              <w:left w:type="dxa" w:w="110"/>
              <w:bottom w:type="dxa" w:w="70"/>
              <w:right w:type="dxa" w:w="110"/>
            </w:tcMar>
          </w:tcPr>
          <w:p>
            <w:pPr>
              <w:spacing w:after="0"/>
            </w:pPr>
            <w:r>
              <w:rPr>
                <w:rFonts w:ascii="Arial" w:cs="Arial" w:eastAsia="Arial" w:hAnsi="Arial"/>
                <w:sz w:val="19"/>
                <w:szCs w:val="19"/>
              </w:rPr>
              <w:t xml:space="preserve">☐</w:t>
            </w:r>
          </w:p>
        </w:tc>
      </w:tr>
    </w:tbl>
    <w:p>
      <w:r>
        <w:rPr>
          <w:rFonts w:ascii="Arial" w:cs="Arial" w:eastAsia="Arial" w:hAnsi="Arial"/>
        </w:rPr>
        <w:t xml:space="preserve"/>
      </w:r>
    </w:p>
    <w:p>
      <w:pPr>
        <w:keepNext/>
        <w:spacing w:after="120" w:before="240"/>
        <w:jc w:val="left"/>
      </w:pPr>
      <w:r>
        <w:rPr>
          <w:rFonts w:ascii="Arial" w:cs="Arial" w:eastAsia="Arial" w:hAnsi="Arial"/>
          <w:b/>
          <w:bCs/>
          <w:color w:val="26262C"/>
          <w:sz w:val="22"/>
          <w:szCs w:val="22"/>
        </w:rPr>
        <w:t xml:space="preserve">Vergi ve Harç Notları (2026)</w:t>
      </w:r>
    </w:p>
    <w:p>
      <w:pPr>
        <w:pStyle w:val="ListParagraph"/>
        <w:numPr>
          <w:ilvl w:val="0"/>
          <w:numId w:val="2"/>
        </w:numPr>
        <w:spacing w:after="80"/>
        <w:jc w:val="left"/>
      </w:pPr>
      <w:r>
        <w:rPr>
          <w:rFonts w:ascii="Arial" w:cs="Arial" w:eastAsia="Arial" w:hAnsi="Arial"/>
        </w:rPr>
        <w:t xml:space="preserve">Resmî şekilde düzenlenen kat karşılığı inşaat sözleşmelerinde damga vergisi oranı sıfırdır (488 sayılı Kanun, 1 sayılı tablo; 2026 tebliği).</w:t>
      </w:r>
    </w:p>
    <w:p>
      <w:pPr>
        <w:pStyle w:val="ListParagraph"/>
        <w:numPr>
          <w:ilvl w:val="0"/>
          <w:numId w:val="2"/>
        </w:numPr>
        <w:spacing w:after="80"/>
        <w:jc w:val="left"/>
      </w:pPr>
      <w:r>
        <w:rPr>
          <w:rFonts w:ascii="Arial" w:cs="Arial" w:eastAsia="Arial" w:hAnsi="Arial"/>
        </w:rPr>
        <w:t xml:space="preserve">Noter harcı ve ücreti ayrıca ödenir; tutarı noterden sözleşme gününden önce öğrenin.</w:t>
      </w:r>
    </w:p>
    <w:p>
      <w:pPr>
        <w:pStyle w:val="ListParagraph"/>
        <w:numPr>
          <w:ilvl w:val="0"/>
          <w:numId w:val="2"/>
        </w:numPr>
        <w:spacing w:after="80"/>
        <w:jc w:val="left"/>
      </w:pPr>
      <w:r>
        <w:rPr>
          <w:rFonts w:ascii="Arial" w:cs="Arial" w:eastAsia="Arial" w:hAnsi="Arial"/>
        </w:rPr>
        <w:t xml:space="preserve">6306 sayılı Kanun kapsamında riskli yapı için yapılan sözleşmelerde noter harcı, tapu harcı ve damga vergisi istisnası uygulanır.</w:t>
      </w:r>
    </w:p>
    <w:p>
      <w:r>
        <w:rPr>
          <w:rFonts w:ascii="Arial" w:cs="Arial" w:eastAsia="Arial" w:hAnsi="Arial"/>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7CBFA" w:sz="6"/>
              <w:left w:val="single" w:color="4146F3" w:sz="24"/>
              <w:bottom w:val="single" w:color="C7CBFA" w:sz="6"/>
              <w:right w:val="single" w:color="C7CBFA" w:sz="6"/>
            </w:tcBorders>
            <w:shd w:fill="FFF8E6" w:color="auto" w:val="clear"/>
            <w:tcMar>
              <w:top w:type="dxa" w:w="140"/>
              <w:left w:type="dxa" w:w="200"/>
              <w:bottom w:type="dxa" w:w="140"/>
              <w:right w:type="dxa" w:w="200"/>
            </w:tcMar>
          </w:tcPr>
          <w:p>
            <w:pPr>
              <w:spacing w:after="60" w:before="0" w:line="276"/>
              <w:jc w:val="both"/>
            </w:pPr>
            <w:r>
              <w:rPr>
                <w:rFonts w:ascii="Arial" w:cs="Arial" w:eastAsia="Arial" w:hAnsi="Arial"/>
                <w:b/>
                <w:bCs/>
                <w:sz w:val="19"/>
                <w:szCs w:val="19"/>
              </w:rPr>
              <w:t xml:space="preserve">Hukuki uyarı:</w:t>
            </w:r>
            <w:r>
              <w:rPr>
                <w:rFonts w:ascii="Arial" w:cs="Arial" w:eastAsia="Arial" w:hAnsi="Arial"/>
                <w:sz w:val="19"/>
                <w:szCs w:val="19"/>
              </w:rPr>
              <w:t xml:space="preserve"> Bu metin genel bilgilendirme amaçlı bir taslaktır; avukatlık veya noterlik hizmetinin yerine geçmez. Her parselin imar durumu, hisse yapısı ve tarafların ihtiyacı farklıdır. Son metni imzadan önce noter ve bir avukatla birlikte gözden geçirin.</w:t>
            </w:r>
          </w:p>
          <w:p>
            <w:pPr>
              <w:spacing w:after="0" w:before="0" w:line="276"/>
              <w:jc w:val="both"/>
            </w:pPr>
            <w:r>
              <w:rPr>
                <w:rFonts w:ascii="Arial" w:cs="Arial" w:eastAsia="Arial" w:hAnsi="Arial"/>
                <w:color w:val="555555"/>
                <w:sz w:val="18"/>
                <w:szCs w:val="18"/>
              </w:rPr>
              <w:t xml:space="preserve">Hazırlayan: Özkaya Mühendislik — Ali Osman Özkaya, İnşaat Mühendisi &amp; Mimar · ozkaya-muhendislik.com · +90 507 568 08 85</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Kat Karşılığı İnşaat Sözleşmesi Örneği 2026  ·  ozkaya-muhendislik.com  ·  Sayfa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 Karşılığı İnşaat Sözleşmesi Örneği 2026</dc:title>
  <dc:creator>Özkaya Mühendislik</dc:creator>
  <cp:lastModifiedBy>Un-named</cp:lastModifiedBy>
  <cp:revision>1</cp:revision>
  <dcterms:created xsi:type="dcterms:W3CDTF">2026-10-15T15:05:13.464Z</dcterms:created>
  <dcterms:modified xsi:type="dcterms:W3CDTF">2026-10-15T15:05:13.464Z</dcterms:modified>
</cp:coreProperties>
</file>

<file path=docProps/custom.xml><?xml version="1.0" encoding="utf-8"?>
<Properties xmlns="http://schemas.openxmlformats.org/officeDocument/2006/custom-properties" xmlns:vt="http://schemas.openxmlformats.org/officeDocument/2006/docPropsVTypes"/>
</file>